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56FE1">
      <w:pPr>
        <w:widowControl w:val="0"/>
        <w:spacing w:line="276" w:lineRule="auto"/>
        <w:jc w:val="right"/>
        <w:rPr>
          <w:sz w:val="24"/>
          <w:szCs w:val="24"/>
          <w:lang w:val="ru-RU"/>
        </w:rPr>
      </w:pPr>
      <w:bookmarkStart w:id="0" w:name="_heading=h.gjdgxs" w:colFirst="0" w:colLast="0"/>
      <w:bookmarkEnd w:id="0"/>
      <w:r>
        <w:rPr>
          <w:sz w:val="24"/>
          <w:szCs w:val="24"/>
          <w:lang w:val="ru-RU"/>
        </w:rPr>
        <w:t>«УТВЕРЖДАЮ»</w:t>
      </w:r>
    </w:p>
    <w:p w14:paraId="73300937">
      <w:pPr>
        <w:widowControl w:val="0"/>
        <w:ind w:left="-180"/>
        <w:jc w:val="right"/>
        <w:rPr>
          <w:rFonts w:hint="default"/>
          <w:sz w:val="24"/>
          <w:szCs w:val="24"/>
          <w:lang w:val="en-US"/>
        </w:rPr>
      </w:pPr>
      <w:bookmarkStart w:id="1" w:name="_heading=h.30j0zll" w:colFirst="0" w:colLast="0"/>
      <w:bookmarkEnd w:id="1"/>
      <w:bookmarkStart w:id="2" w:name="_heading=h.9ryu17c7zodd" w:colFirst="0" w:colLast="0"/>
      <w:bookmarkEnd w:id="2"/>
      <w:r>
        <w:rPr>
          <w:rFonts w:hint="default"/>
          <w:sz w:val="24"/>
          <w:szCs w:val="24"/>
          <w:lang w:val="en-US"/>
        </w:rPr>
        <w:t>{{Должность_руководителя}}</w:t>
      </w:r>
      <w:r>
        <w:rPr>
          <w:sz w:val="24"/>
          <w:szCs w:val="24"/>
          <w:lang w:val="ru-RU"/>
        </w:rPr>
        <w:t xml:space="preserve"> </w:t>
      </w:r>
      <w:r>
        <w:rPr>
          <w:rFonts w:hint="default"/>
          <w:sz w:val="24"/>
          <w:szCs w:val="24"/>
          <w:lang w:val="en-US"/>
        </w:rPr>
        <w:t>{{Наименование_объекта}}</w:t>
      </w:r>
    </w:p>
    <w:p w14:paraId="56872369">
      <w:pPr>
        <w:widowControl w:val="0"/>
        <w:ind w:left="-180"/>
        <w:jc w:val="right"/>
        <w:rPr>
          <w:sz w:val="24"/>
          <w:szCs w:val="24"/>
          <w:lang w:val="ru-RU"/>
        </w:rPr>
      </w:pPr>
    </w:p>
    <w:p w14:paraId="2125B3BB">
      <w:pPr>
        <w:widowControl w:val="0"/>
        <w:ind w:left="-180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______________ </w:t>
      </w:r>
      <w:r>
        <w:rPr>
          <w:rFonts w:hint="default"/>
          <w:sz w:val="24"/>
          <w:szCs w:val="24"/>
          <w:lang w:val="en-US"/>
        </w:rPr>
        <w:t>{{ФИО_руководителя}}</w:t>
      </w:r>
    </w:p>
    <w:p w14:paraId="06148E6C">
      <w:pPr>
        <w:widowControl w:val="0"/>
        <w:ind w:left="-180"/>
        <w:jc w:val="right"/>
        <w:rPr>
          <w:sz w:val="24"/>
          <w:szCs w:val="24"/>
          <w:lang w:val="ru-RU"/>
        </w:rPr>
      </w:pPr>
    </w:p>
    <w:p w14:paraId="238EF749">
      <w:pPr>
        <w:widowControl w:val="0"/>
        <w:ind w:left="-180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«____» ____________ 2</w:t>
      </w:r>
      <w:bookmarkStart w:id="4" w:name="_GoBack"/>
      <w:bookmarkEnd w:id="4"/>
      <w:r>
        <w:rPr>
          <w:sz w:val="24"/>
          <w:szCs w:val="24"/>
          <w:lang w:val="ru-RU"/>
        </w:rPr>
        <w:t>0__ г.</w:t>
      </w:r>
    </w:p>
    <w:p w14:paraId="006876EC">
      <w:pPr>
        <w:widowControl w:val="0"/>
        <w:jc w:val="right"/>
        <w:rPr>
          <w:color w:val="000000"/>
          <w:sz w:val="24"/>
          <w:szCs w:val="24"/>
          <w:lang w:val="ru-RU"/>
        </w:rPr>
      </w:pPr>
    </w:p>
    <w:p w14:paraId="20242BF4">
      <w:pPr>
        <w:widowControl w:val="0"/>
        <w:jc w:val="center"/>
        <w:rPr>
          <w:b/>
          <w:color w:val="000000"/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>План-программа внутренних аудитов</w:t>
      </w:r>
    </w:p>
    <w:p w14:paraId="2B46E975">
      <w:pPr>
        <w:widowControl w:val="0"/>
        <w:tabs>
          <w:tab w:val="center" w:pos="4677"/>
          <w:tab w:val="left" w:pos="6360"/>
        </w:tabs>
        <w:rPr>
          <w:b/>
          <w:color w:val="000000"/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ab/>
      </w:r>
      <w:r>
        <w:rPr>
          <w:b/>
          <w:color w:val="000000"/>
          <w:sz w:val="24"/>
          <w:szCs w:val="24"/>
          <w:lang w:val="ru-RU"/>
        </w:rPr>
        <w:t>на 20__ г.</w:t>
      </w:r>
    </w:p>
    <w:p w14:paraId="4813ED44">
      <w:pPr>
        <w:widowControl w:val="0"/>
        <w:jc w:val="right"/>
        <w:rPr>
          <w:color w:val="000000"/>
          <w:sz w:val="22"/>
          <w:szCs w:val="22"/>
          <w:lang w:val="ru-RU"/>
        </w:rPr>
      </w:pPr>
    </w:p>
    <w:tbl>
      <w:tblPr>
        <w:tblStyle w:val="27"/>
        <w:tblW w:w="9536" w:type="dxa"/>
        <w:tblInd w:w="-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507"/>
        <w:gridCol w:w="5838"/>
        <w:gridCol w:w="3191"/>
      </w:tblGrid>
      <w:tr w14:paraId="7EC66B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29" w:hRule="atLeast"/>
        </w:trPr>
        <w:tc>
          <w:tcPr>
            <w:tcW w:w="507" w:type="dxa"/>
            <w:vMerge w:val="restart"/>
          </w:tcPr>
          <w:p w14:paraId="378127A4">
            <w:pPr>
              <w:widowControl w:val="0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  <w:p w14:paraId="714D4159">
            <w:pPr>
              <w:widowControl w:val="0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color w:val="000000"/>
                <w:sz w:val="22"/>
                <w:szCs w:val="22"/>
                <w:lang w:val="ru-RU"/>
              </w:rPr>
              <w:t>№</w:t>
            </w:r>
          </w:p>
        </w:tc>
        <w:tc>
          <w:tcPr>
            <w:tcW w:w="5838" w:type="dxa"/>
            <w:vMerge w:val="restart"/>
            <w:vAlign w:val="center"/>
          </w:tcPr>
          <w:p w14:paraId="57FD54A1">
            <w:pPr>
              <w:widowControl w:val="0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color w:val="000000"/>
                <w:sz w:val="22"/>
                <w:szCs w:val="22"/>
                <w:lang w:val="ru-RU"/>
              </w:rPr>
              <w:t>Требования</w:t>
            </w:r>
          </w:p>
        </w:tc>
        <w:tc>
          <w:tcPr>
            <w:tcW w:w="3191" w:type="dxa"/>
            <w:vAlign w:val="center"/>
          </w:tcPr>
          <w:p w14:paraId="2D3EA9A4">
            <w:pPr>
              <w:widowControl w:val="0"/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22"/>
                <w:szCs w:val="22"/>
                <w:lang w:val="ru-RU"/>
              </w:rPr>
              <w:t>Дата аудита / назначенный(е) аудитор(ы):</w:t>
            </w:r>
          </w:p>
        </w:tc>
      </w:tr>
      <w:tr w14:paraId="7B42FE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35" w:hRule="atLeast"/>
        </w:trPr>
        <w:tc>
          <w:tcPr>
            <w:tcW w:w="507" w:type="dxa"/>
            <w:vMerge w:val="continue"/>
          </w:tcPr>
          <w:p w14:paraId="1CE3CA5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838" w:type="dxa"/>
            <w:vMerge w:val="continue"/>
            <w:vAlign w:val="center"/>
          </w:tcPr>
          <w:p w14:paraId="40E5631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191" w:type="dxa"/>
            <w:vAlign w:val="center"/>
          </w:tcPr>
          <w:p w14:paraId="729D6650">
            <w:pPr>
              <w:rPr>
                <w:color w:val="000000"/>
              </w:rPr>
            </w:pPr>
            <w:r>
              <w:rPr>
                <w:i/>
                <w:color w:val="000000"/>
                <w:sz w:val="18"/>
                <w:szCs w:val="18"/>
              </w:rPr>
              <w:t>__________</w:t>
            </w:r>
            <w:r>
              <w:rPr>
                <w:i/>
                <w:color w:val="000000"/>
                <w:sz w:val="16"/>
                <w:szCs w:val="16"/>
              </w:rPr>
              <w:t>Аудитор(ы)</w:t>
            </w:r>
          </w:p>
        </w:tc>
      </w:tr>
      <w:tr w14:paraId="0AC3AF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1" w:hRule="atLeast"/>
        </w:trPr>
        <w:tc>
          <w:tcPr>
            <w:tcW w:w="9536" w:type="dxa"/>
            <w:gridSpan w:val="3"/>
          </w:tcPr>
          <w:p w14:paraId="01D8F7ED">
            <w:pPr>
              <w:widowControl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Общие требования</w:t>
            </w:r>
          </w:p>
        </w:tc>
      </w:tr>
      <w:tr w14:paraId="4B3F27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01" w:hRule="atLeast"/>
        </w:trPr>
        <w:tc>
          <w:tcPr>
            <w:tcW w:w="507" w:type="dxa"/>
            <w:vAlign w:val="center"/>
          </w:tcPr>
          <w:p w14:paraId="715C78DB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838" w:type="dxa"/>
          </w:tcPr>
          <w:p w14:paraId="15EA80CD">
            <w:pPr>
              <w:widowControl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Наличие и управление документацией по ХАССП</w:t>
            </w:r>
          </w:p>
        </w:tc>
        <w:tc>
          <w:tcPr>
            <w:tcW w:w="3191" w:type="dxa"/>
          </w:tcPr>
          <w:p w14:paraId="180B0DEA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</w:p>
        </w:tc>
      </w:tr>
      <w:tr w14:paraId="066E9B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37" w:hRule="atLeast"/>
        </w:trPr>
        <w:tc>
          <w:tcPr>
            <w:tcW w:w="507" w:type="dxa"/>
            <w:vAlign w:val="center"/>
          </w:tcPr>
          <w:p w14:paraId="4FB90D90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838" w:type="dxa"/>
          </w:tcPr>
          <w:p w14:paraId="2BECC7F4">
            <w:pPr>
              <w:widowControl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Ведение регистрационно-учетной документации (записей) и управление записями (журналов и графиков)</w:t>
            </w:r>
          </w:p>
        </w:tc>
        <w:tc>
          <w:tcPr>
            <w:tcW w:w="3191" w:type="dxa"/>
          </w:tcPr>
          <w:p w14:paraId="36F5C83B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</w:p>
        </w:tc>
      </w:tr>
      <w:tr w14:paraId="54CE8F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01" w:hRule="atLeast"/>
        </w:trPr>
        <w:tc>
          <w:tcPr>
            <w:tcW w:w="507" w:type="dxa"/>
            <w:vAlign w:val="center"/>
          </w:tcPr>
          <w:p w14:paraId="0BFA51E0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838" w:type="dxa"/>
          </w:tcPr>
          <w:p w14:paraId="730A2ABD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Анализ претензий и жалоб.</w:t>
            </w:r>
          </w:p>
        </w:tc>
        <w:tc>
          <w:tcPr>
            <w:tcW w:w="3191" w:type="dxa"/>
          </w:tcPr>
          <w:p w14:paraId="40D77D62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</w:tr>
      <w:tr w14:paraId="010E69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1" w:hRule="atLeast"/>
        </w:trPr>
        <w:tc>
          <w:tcPr>
            <w:tcW w:w="507" w:type="dxa"/>
            <w:vAlign w:val="center"/>
          </w:tcPr>
          <w:p w14:paraId="6FAF550B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5838" w:type="dxa"/>
          </w:tcPr>
          <w:p w14:paraId="1C7D2679">
            <w:pPr>
              <w:widowControl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Оценка соответствия информации (в маркировке, сопроводительной документации и др.)</w:t>
            </w:r>
          </w:p>
        </w:tc>
        <w:tc>
          <w:tcPr>
            <w:tcW w:w="3191" w:type="dxa"/>
          </w:tcPr>
          <w:p w14:paraId="61E827C3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</w:p>
        </w:tc>
      </w:tr>
      <w:tr w14:paraId="53CCCD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1" w:hRule="atLeast"/>
        </w:trPr>
        <w:tc>
          <w:tcPr>
            <w:tcW w:w="507" w:type="dxa"/>
            <w:vAlign w:val="center"/>
          </w:tcPr>
          <w:p w14:paraId="005682B7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5838" w:type="dxa"/>
          </w:tcPr>
          <w:p w14:paraId="14E97DE4">
            <w:pPr>
              <w:widowControl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Анализ и актуализация системы ХАССП (своевременность, необходимость)</w:t>
            </w:r>
          </w:p>
        </w:tc>
        <w:tc>
          <w:tcPr>
            <w:tcW w:w="3191" w:type="dxa"/>
          </w:tcPr>
          <w:p w14:paraId="029AAE0B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</w:p>
        </w:tc>
      </w:tr>
      <w:tr w14:paraId="2E2AEB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1" w:hRule="atLeast"/>
        </w:trPr>
        <w:tc>
          <w:tcPr>
            <w:tcW w:w="507" w:type="dxa"/>
            <w:vAlign w:val="center"/>
          </w:tcPr>
          <w:p w14:paraId="2A4E3F80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5838" w:type="dxa"/>
          </w:tcPr>
          <w:p w14:paraId="1BBB01D9">
            <w:pPr>
              <w:widowControl w:val="0"/>
              <w:rPr>
                <w:color w:val="000000"/>
                <w:lang w:val="ru-RU"/>
              </w:rPr>
            </w:pPr>
            <w:bookmarkStart w:id="3" w:name="_heading=h.1fob9te" w:colFirst="0" w:colLast="0"/>
            <w:bookmarkEnd w:id="3"/>
            <w:r>
              <w:rPr>
                <w:color w:val="000000"/>
                <w:lang w:val="ru-RU"/>
              </w:rPr>
              <w:t>Компетентность и подготовка персонала (анализ работы персонала в соответствии с требованиями ХАССП)</w:t>
            </w:r>
          </w:p>
        </w:tc>
        <w:tc>
          <w:tcPr>
            <w:tcW w:w="3191" w:type="dxa"/>
          </w:tcPr>
          <w:p w14:paraId="4F1FB474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</w:p>
        </w:tc>
      </w:tr>
      <w:tr w14:paraId="3C6AF5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4" w:hRule="atLeast"/>
        </w:trPr>
        <w:tc>
          <w:tcPr>
            <w:tcW w:w="9536" w:type="dxa"/>
            <w:gridSpan w:val="3"/>
          </w:tcPr>
          <w:p w14:paraId="772548F4">
            <w:pPr>
              <w:widowControl w:val="0"/>
              <w:rPr>
                <w:b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color w:val="000000"/>
                <w:lang w:val="ru-RU"/>
              </w:rPr>
              <w:t>Особые требования (проверяются при каждом внутреннем аудите)</w:t>
            </w:r>
          </w:p>
        </w:tc>
      </w:tr>
      <w:tr w14:paraId="4821C0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5" w:hRule="atLeast"/>
        </w:trPr>
        <w:tc>
          <w:tcPr>
            <w:tcW w:w="507" w:type="dxa"/>
            <w:vAlign w:val="center"/>
          </w:tcPr>
          <w:p w14:paraId="0386477B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5838" w:type="dxa"/>
          </w:tcPr>
          <w:p w14:paraId="6352D49D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Устранение ранее выявленных несоответствий</w:t>
            </w:r>
          </w:p>
        </w:tc>
        <w:tc>
          <w:tcPr>
            <w:tcW w:w="3191" w:type="dxa"/>
            <w:vMerge w:val="restart"/>
            <w:vAlign w:val="center"/>
          </w:tcPr>
          <w:p w14:paraId="51D62E37">
            <w:pPr>
              <w:widowControl w:val="0"/>
              <w:jc w:val="center"/>
              <w:rPr>
                <w:rFonts w:ascii="Arial Narrow" w:hAnsi="Arial Narrow" w:eastAsia="Arial Narrow" w:cs="Arial Narrow"/>
                <w:color w:val="000000"/>
                <w:sz w:val="18"/>
                <w:szCs w:val="18"/>
              </w:rPr>
            </w:pPr>
          </w:p>
        </w:tc>
      </w:tr>
      <w:tr w14:paraId="204589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5" w:hRule="atLeast"/>
        </w:trPr>
        <w:tc>
          <w:tcPr>
            <w:tcW w:w="507" w:type="dxa"/>
            <w:vAlign w:val="center"/>
          </w:tcPr>
          <w:p w14:paraId="3623466E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5838" w:type="dxa"/>
          </w:tcPr>
          <w:p w14:paraId="6066F63C">
            <w:pPr>
              <w:widowControl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Ведение, соблюдение рабочих листов/графиков ХАССП</w:t>
            </w:r>
          </w:p>
        </w:tc>
        <w:tc>
          <w:tcPr>
            <w:tcW w:w="3191" w:type="dxa"/>
            <w:vMerge w:val="continue"/>
            <w:vAlign w:val="center"/>
          </w:tcPr>
          <w:p w14:paraId="2B13616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  <w:lang w:val="ru-RU"/>
              </w:rPr>
            </w:pPr>
          </w:p>
        </w:tc>
      </w:tr>
      <w:tr w14:paraId="10632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4" w:hRule="atLeast"/>
        </w:trPr>
        <w:tc>
          <w:tcPr>
            <w:tcW w:w="9536" w:type="dxa"/>
            <w:gridSpan w:val="3"/>
          </w:tcPr>
          <w:p w14:paraId="4ADBD1F9">
            <w:pPr>
              <w:widowControl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Специальные требования</w:t>
            </w:r>
          </w:p>
        </w:tc>
      </w:tr>
      <w:tr w14:paraId="3615F9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5" w:hRule="atLeast"/>
        </w:trPr>
        <w:tc>
          <w:tcPr>
            <w:tcW w:w="507" w:type="dxa"/>
            <w:vAlign w:val="center"/>
          </w:tcPr>
          <w:p w14:paraId="5E34FB0B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5838" w:type="dxa"/>
          </w:tcPr>
          <w:p w14:paraId="1DDAFE79">
            <w:pPr>
              <w:widowControl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Требования к территории, зданиям, производственным и вспомогательным помещениям</w:t>
            </w:r>
          </w:p>
        </w:tc>
        <w:tc>
          <w:tcPr>
            <w:tcW w:w="3191" w:type="dxa"/>
          </w:tcPr>
          <w:p w14:paraId="67EBE35C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</w:p>
        </w:tc>
      </w:tr>
      <w:tr w14:paraId="53E08F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5" w:hRule="atLeast"/>
        </w:trPr>
        <w:tc>
          <w:tcPr>
            <w:tcW w:w="507" w:type="dxa"/>
            <w:vAlign w:val="center"/>
          </w:tcPr>
          <w:p w14:paraId="1E438CC9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5838" w:type="dxa"/>
          </w:tcPr>
          <w:p w14:paraId="7AFEC8DA">
            <w:pPr>
              <w:widowControl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Требования к водоснабжению, канализации, освещению, вентиляции и удалению отходов</w:t>
            </w:r>
          </w:p>
        </w:tc>
        <w:tc>
          <w:tcPr>
            <w:tcW w:w="3191" w:type="dxa"/>
          </w:tcPr>
          <w:p w14:paraId="1646C84F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</w:p>
        </w:tc>
      </w:tr>
      <w:tr w14:paraId="111AF7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1" w:hRule="atLeast"/>
        </w:trPr>
        <w:tc>
          <w:tcPr>
            <w:tcW w:w="507" w:type="dxa"/>
            <w:vAlign w:val="center"/>
          </w:tcPr>
          <w:p w14:paraId="1EFE9F04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5838" w:type="dxa"/>
          </w:tcPr>
          <w:p w14:paraId="3BB75B9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Требования к оборудованию, инвентарю</w:t>
            </w:r>
          </w:p>
        </w:tc>
        <w:tc>
          <w:tcPr>
            <w:tcW w:w="3191" w:type="dxa"/>
          </w:tcPr>
          <w:p w14:paraId="54EBF30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14:paraId="69855D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95" w:hRule="atLeast"/>
        </w:trPr>
        <w:tc>
          <w:tcPr>
            <w:tcW w:w="507" w:type="dxa"/>
            <w:vAlign w:val="center"/>
          </w:tcPr>
          <w:p w14:paraId="459922B7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5838" w:type="dxa"/>
          </w:tcPr>
          <w:p w14:paraId="1EE92C7F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Требования к средствам измерения</w:t>
            </w:r>
          </w:p>
        </w:tc>
        <w:tc>
          <w:tcPr>
            <w:tcW w:w="3191" w:type="dxa"/>
          </w:tcPr>
          <w:p w14:paraId="313B1F8D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</w:tr>
      <w:tr w14:paraId="56AA4D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1" w:hRule="atLeast"/>
        </w:trPr>
        <w:tc>
          <w:tcPr>
            <w:tcW w:w="507" w:type="dxa"/>
            <w:vAlign w:val="center"/>
          </w:tcPr>
          <w:p w14:paraId="349DD8A6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5838" w:type="dxa"/>
          </w:tcPr>
          <w:p w14:paraId="23827167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Требования к технологическим процессам</w:t>
            </w:r>
          </w:p>
        </w:tc>
        <w:tc>
          <w:tcPr>
            <w:tcW w:w="3191" w:type="dxa"/>
          </w:tcPr>
          <w:p w14:paraId="622F5904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14:paraId="787E8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8" w:hRule="atLeast"/>
        </w:trPr>
        <w:tc>
          <w:tcPr>
            <w:tcW w:w="507" w:type="dxa"/>
            <w:vAlign w:val="center"/>
          </w:tcPr>
          <w:p w14:paraId="1E779BB3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5838" w:type="dxa"/>
          </w:tcPr>
          <w:p w14:paraId="5C6B907A">
            <w:pPr>
              <w:widowControl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Требования к обращению с пищевой продукцией, приемке сырья и контролю готовой продукции, хранению, перемещению и отгрузке </w:t>
            </w:r>
          </w:p>
        </w:tc>
        <w:tc>
          <w:tcPr>
            <w:tcW w:w="3191" w:type="dxa"/>
          </w:tcPr>
          <w:p w14:paraId="5B0156BD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</w:p>
        </w:tc>
      </w:tr>
      <w:tr w14:paraId="14D6A8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1" w:hRule="atLeast"/>
        </w:trPr>
        <w:tc>
          <w:tcPr>
            <w:tcW w:w="507" w:type="dxa"/>
            <w:vAlign w:val="center"/>
          </w:tcPr>
          <w:p w14:paraId="7C2C0237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5838" w:type="dxa"/>
          </w:tcPr>
          <w:p w14:paraId="6C5C6E33">
            <w:pPr>
              <w:widowControl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Требования к личной гигиене персонала</w:t>
            </w:r>
          </w:p>
        </w:tc>
        <w:tc>
          <w:tcPr>
            <w:tcW w:w="3191" w:type="dxa"/>
          </w:tcPr>
          <w:p w14:paraId="47FEF5B4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</w:p>
        </w:tc>
      </w:tr>
      <w:tr w14:paraId="52ACCF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1" w:hRule="atLeast"/>
        </w:trPr>
        <w:tc>
          <w:tcPr>
            <w:tcW w:w="507" w:type="dxa"/>
            <w:vAlign w:val="center"/>
          </w:tcPr>
          <w:p w14:paraId="4AE841A4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5838" w:type="dxa"/>
          </w:tcPr>
          <w:p w14:paraId="1AC92460">
            <w:pPr>
              <w:widowControl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Требования к работе с посетителями производственной зоны</w:t>
            </w:r>
          </w:p>
        </w:tc>
        <w:tc>
          <w:tcPr>
            <w:tcW w:w="3191" w:type="dxa"/>
          </w:tcPr>
          <w:p w14:paraId="6D787E12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</w:p>
        </w:tc>
      </w:tr>
      <w:tr w14:paraId="1DFC19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1" w:hRule="atLeast"/>
        </w:trPr>
        <w:tc>
          <w:tcPr>
            <w:tcW w:w="507" w:type="dxa"/>
            <w:vAlign w:val="center"/>
          </w:tcPr>
          <w:p w14:paraId="6E7D511E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5838" w:type="dxa"/>
          </w:tcPr>
          <w:p w14:paraId="3E85D99E">
            <w:pPr>
              <w:widowControl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Требования к санитарной обработке, дезинсекции и дератизации</w:t>
            </w:r>
          </w:p>
        </w:tc>
        <w:tc>
          <w:tcPr>
            <w:tcW w:w="3191" w:type="dxa"/>
          </w:tcPr>
          <w:p w14:paraId="13C342DA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</w:p>
        </w:tc>
      </w:tr>
      <w:tr w14:paraId="001569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1" w:hRule="atLeast"/>
        </w:trPr>
        <w:tc>
          <w:tcPr>
            <w:tcW w:w="507" w:type="dxa"/>
            <w:vAlign w:val="center"/>
          </w:tcPr>
          <w:p w14:paraId="39C43599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5838" w:type="dxa"/>
          </w:tcPr>
          <w:p w14:paraId="6B2E4C14">
            <w:pPr>
              <w:widowControl w:val="0"/>
              <w:rPr>
                <w:color w:val="000000"/>
              </w:rPr>
            </w:pPr>
            <w:r>
              <w:rPr>
                <w:color w:val="000000"/>
                <w:lang w:val="ru-RU"/>
              </w:rPr>
              <w:t xml:space="preserve">Требования к обращению со стеклом, хрупким пластиком, деревом, металлом. </w:t>
            </w:r>
            <w:r>
              <w:rPr>
                <w:color w:val="000000"/>
              </w:rPr>
              <w:t>Предотвращение посторонних включений в пищевую продукцию</w:t>
            </w:r>
          </w:p>
        </w:tc>
        <w:tc>
          <w:tcPr>
            <w:tcW w:w="3191" w:type="dxa"/>
          </w:tcPr>
          <w:p w14:paraId="7EE2D02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14:paraId="7B5AE8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12" w:hRule="atLeast"/>
        </w:trPr>
        <w:tc>
          <w:tcPr>
            <w:tcW w:w="507" w:type="dxa"/>
            <w:vAlign w:val="center"/>
          </w:tcPr>
          <w:p w14:paraId="2F894EE5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5838" w:type="dxa"/>
          </w:tcPr>
          <w:p w14:paraId="68913EBC">
            <w:pPr>
              <w:widowControl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Требования к обращению с несоответствующей продукцией</w:t>
            </w:r>
          </w:p>
        </w:tc>
        <w:tc>
          <w:tcPr>
            <w:tcW w:w="3191" w:type="dxa"/>
          </w:tcPr>
          <w:p w14:paraId="328DCC4E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</w:p>
        </w:tc>
      </w:tr>
      <w:tr w14:paraId="577A09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12" w:hRule="atLeast"/>
        </w:trPr>
        <w:tc>
          <w:tcPr>
            <w:tcW w:w="507" w:type="dxa"/>
            <w:vAlign w:val="center"/>
          </w:tcPr>
          <w:p w14:paraId="71197260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5838" w:type="dxa"/>
          </w:tcPr>
          <w:p w14:paraId="67A54EC6">
            <w:pPr>
              <w:widowControl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Обмен информацией (с сотрудниками и внешними сторонами)</w:t>
            </w:r>
          </w:p>
        </w:tc>
        <w:tc>
          <w:tcPr>
            <w:tcW w:w="3191" w:type="dxa"/>
          </w:tcPr>
          <w:p w14:paraId="4577D8D9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</w:p>
        </w:tc>
      </w:tr>
      <w:tr w14:paraId="31952A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12" w:hRule="atLeast"/>
        </w:trPr>
        <w:tc>
          <w:tcPr>
            <w:tcW w:w="507" w:type="dxa"/>
            <w:vAlign w:val="center"/>
          </w:tcPr>
          <w:p w14:paraId="153755F6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5838" w:type="dxa"/>
          </w:tcPr>
          <w:p w14:paraId="733FCEAF">
            <w:pPr>
              <w:widowControl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Закупки сырья и оценка поставщиков</w:t>
            </w:r>
          </w:p>
        </w:tc>
        <w:tc>
          <w:tcPr>
            <w:tcW w:w="3191" w:type="dxa"/>
          </w:tcPr>
          <w:p w14:paraId="3C8B863D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1869CA5A">
      <w:pPr>
        <w:widowControl w:val="0"/>
        <w:tabs>
          <w:tab w:val="left" w:pos="1534"/>
          <w:tab w:val="left" w:pos="3015"/>
        </w:tabs>
        <w:ind w:left="825" w:right="108"/>
        <w:jc w:val="both"/>
        <w:rPr>
          <w:b/>
          <w:sz w:val="24"/>
          <w:szCs w:val="24"/>
          <w:lang w:val="ru-RU"/>
        </w:rPr>
      </w:pPr>
    </w:p>
    <w:p w14:paraId="1F0C0CD9">
      <w:pPr>
        <w:widowControl w:val="0"/>
        <w:jc w:val="right"/>
        <w:rPr>
          <w:color w:val="000000"/>
          <w:sz w:val="22"/>
          <w:szCs w:val="22"/>
          <w:lang w:val="ru-RU"/>
        </w:rPr>
      </w:pPr>
    </w:p>
    <w:p w14:paraId="79920E17">
      <w:pPr>
        <w:widowControl w:val="0"/>
        <w:jc w:val="right"/>
        <w:rPr>
          <w:color w:val="000000"/>
          <w:sz w:val="22"/>
          <w:szCs w:val="22"/>
          <w:lang w:val="ru-RU"/>
        </w:rPr>
      </w:pPr>
    </w:p>
    <w:p w14:paraId="3E6B647F">
      <w:pPr>
        <w:widowControl w:val="0"/>
        <w:jc w:val="right"/>
        <w:rPr>
          <w:color w:val="000000"/>
          <w:sz w:val="22"/>
          <w:szCs w:val="22"/>
          <w:lang w:val="ru-RU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851" w:bottom="426" w:left="1701" w:header="709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EB41AF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528F8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5D8AA3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C79D58"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76" w:lineRule="auto"/>
      <w:rPr>
        <w:color w:val="000000"/>
        <w:sz w:val="22"/>
        <w:szCs w:val="22"/>
      </w:rPr>
    </w:pPr>
  </w:p>
  <w:tbl>
    <w:tblPr>
      <w:tblStyle w:val="28"/>
      <w:tblW w:w="9781" w:type="dxa"/>
      <w:tblInd w:w="-433" w:type="dxa"/>
      <w:tblLayout w:type="fixed"/>
      <w:tblCellMar>
        <w:top w:w="0" w:type="dxa"/>
        <w:left w:w="115" w:type="dxa"/>
        <w:bottom w:w="0" w:type="dxa"/>
        <w:right w:w="115" w:type="dxa"/>
      </w:tblCellMar>
    </w:tblPr>
    <w:tblGrid>
      <w:gridCol w:w="4376"/>
      <w:gridCol w:w="3846"/>
      <w:gridCol w:w="1559"/>
    </w:tblGrid>
    <w:tr w14:paraId="4D4F9D46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76" w:hRule="atLeast"/>
      </w:trPr>
      <w:tc>
        <w:tcPr>
          <w:tcW w:w="4376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5893A943">
          <w:pPr>
            <w:tabs>
              <w:tab w:val="center" w:pos="4677"/>
              <w:tab w:val="right" w:pos="9355"/>
            </w:tabs>
            <w:spacing w:after="0" w:line="240" w:lineRule="auto"/>
            <w:rPr>
              <w:b/>
              <w:sz w:val="24"/>
              <w:szCs w:val="24"/>
            </w:rPr>
          </w:pPr>
          <w:permStart w:id="0" w:edGrp="everyone"/>
          <w:r>
            <w:rPr>
              <w:rFonts w:ascii="Times New Roman" w:hAnsi="Times New Roman"/>
              <w:b/>
              <w:sz w:val="24"/>
              <w:szCs w:val="24"/>
              <w:lang w:val="ru-RU"/>
            </w:rPr>
            <w:t>{{Вид}} {{Наименование_объекта}} {{Наименование_юрлица}}</w:t>
          </w:r>
          <w:permEnd w:id="0"/>
        </w:p>
      </w:tc>
      <w:tc>
        <w:tcPr>
          <w:tcW w:w="3846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62B86581">
          <w:pPr>
            <w:tabs>
              <w:tab w:val="center" w:pos="4677"/>
              <w:tab w:val="right" w:pos="9355"/>
            </w:tabs>
            <w:jc w:val="center"/>
            <w:rPr>
              <w:u w:val="single"/>
            </w:rPr>
          </w:pPr>
          <w:r>
            <w:rPr>
              <w:smallCaps/>
            </w:rPr>
            <w:t>СИСТЕМА МЕНЕДЖМЕНТА ПИЩЕВОЙ БЕЗОПАСНОСТИ</w:t>
          </w:r>
        </w:p>
      </w:tc>
      <w:tc>
        <w:tcPr>
          <w:tcW w:w="1559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10E32701">
          <w:pPr>
            <w:tabs>
              <w:tab w:val="center" w:pos="4677"/>
              <w:tab w:val="right" w:pos="9355"/>
            </w:tabs>
            <w:jc w:val="center"/>
          </w:pPr>
          <w:r>
            <w:t>Ф-ХАССП-13</w:t>
          </w:r>
        </w:p>
      </w:tc>
    </w:tr>
    <w:tr w14:paraId="4C1EC912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76" w:hRule="atLeast"/>
      </w:trPr>
      <w:tc>
        <w:tcPr>
          <w:tcW w:w="4376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4864AA4E">
          <w:pPr>
            <w:tabs>
              <w:tab w:val="center" w:pos="4677"/>
              <w:tab w:val="right" w:pos="9355"/>
            </w:tabs>
            <w:spacing w:line="276" w:lineRule="auto"/>
            <w:rPr>
              <w:sz w:val="24"/>
              <w:szCs w:val="24"/>
              <w:lang w:val="ru-RU"/>
            </w:rPr>
          </w:pPr>
          <w:permStart w:id="1" w:edGrp="everyone"/>
          <w:r>
            <w:rPr>
              <w:rFonts w:ascii="Times New Roman" w:hAnsi="Times New Roman"/>
              <w:sz w:val="24"/>
              <w:szCs w:val="24"/>
            </w:rPr>
            <w:t>{{Адрес</w:t>
          </w:r>
          <w:r>
            <w:rPr>
              <w:rFonts w:hint="default" w:ascii="Times New Roman" w:hAnsi="Times New Roman"/>
              <w:sz w:val="24"/>
              <w:szCs w:val="24"/>
              <w:lang w:val="en-US"/>
            </w:rPr>
            <w:t>}</w:t>
          </w:r>
          <w:r>
            <w:rPr>
              <w:rFonts w:ascii="Times New Roman" w:hAnsi="Times New Roman"/>
              <w:sz w:val="24"/>
              <w:szCs w:val="24"/>
            </w:rPr>
            <w:t>}</w:t>
          </w:r>
          <w:permEnd w:id="1"/>
        </w:p>
      </w:tc>
      <w:tc>
        <w:tcPr>
          <w:tcW w:w="3846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5761AB19">
          <w:pPr>
            <w:tabs>
              <w:tab w:val="center" w:pos="4677"/>
              <w:tab w:val="right" w:pos="9355"/>
            </w:tabs>
            <w:jc w:val="center"/>
          </w:pPr>
          <w:r>
            <w:rPr>
              <w:i/>
            </w:rPr>
            <w:t>ПЛАН-ПРОГРАММА ВНУТРЕННИХ АУДИТОВ</w:t>
          </w:r>
        </w:p>
      </w:tc>
      <w:tc>
        <w:tcPr>
          <w:tcW w:w="1559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2F334452">
          <w:pPr>
            <w:tabs>
              <w:tab w:val="center" w:pos="4677"/>
              <w:tab w:val="right" w:pos="9355"/>
            </w:tabs>
          </w:pPr>
          <w:r>
            <w:t xml:space="preserve">СТР. 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 xml:space="preserve"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  <w:p w14:paraId="1DCEC3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938E7C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544D3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89"/>
    <w:rsid w:val="00232DBF"/>
    <w:rsid w:val="00287E41"/>
    <w:rsid w:val="003C5E89"/>
    <w:rsid w:val="006E52DA"/>
    <w:rsid w:val="006F7FB9"/>
    <w:rsid w:val="008A633E"/>
    <w:rsid w:val="0095345B"/>
    <w:rsid w:val="009E170A"/>
    <w:rsid w:val="00DE4BB5"/>
    <w:rsid w:val="00FD7741"/>
    <w:rsid w:val="2482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napToGrid w:val="0"/>
      <w:lang w:val="en-GB" w:eastAsia="ru-RU" w:bidi="ar-SA"/>
    </w:rPr>
  </w:style>
  <w:style w:type="paragraph" w:styleId="2">
    <w:name w:val="heading 1"/>
    <w:basedOn w:val="1"/>
    <w:next w:val="1"/>
    <w:link w:val="23"/>
    <w:qFormat/>
    <w:uiPriority w:val="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snapToGrid/>
      <w:color w:val="2E75B6" w:themeColor="accent1" w:themeShade="BF"/>
      <w:sz w:val="32"/>
      <w:szCs w:val="32"/>
      <w:lang w:val="en-US"/>
    </w:rPr>
  </w:style>
  <w:style w:type="paragraph" w:styleId="3">
    <w:name w:val="heading 2"/>
    <w:basedOn w:val="1"/>
    <w:next w:val="1"/>
    <w:link w:val="20"/>
    <w:qFormat/>
    <w:uiPriority w:val="0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8"/>
    <w:qFormat/>
    <w:uiPriority w:val="0"/>
  </w:style>
  <w:style w:type="paragraph" w:styleId="11">
    <w:name w:val="header"/>
    <w:basedOn w:val="1"/>
    <w:link w:val="18"/>
    <w:unhideWhenUsed/>
    <w:qFormat/>
    <w:uiPriority w:val="0"/>
    <w:pPr>
      <w:tabs>
        <w:tab w:val="center" w:pos="4677"/>
        <w:tab w:val="right" w:pos="9355"/>
      </w:tabs>
    </w:pPr>
  </w:style>
  <w:style w:type="paragraph" w:styleId="12">
    <w:name w:val="Body Text"/>
    <w:basedOn w:val="1"/>
    <w:link w:val="24"/>
    <w:unhideWhenUsed/>
    <w:qFormat/>
    <w:uiPriority w:val="99"/>
    <w:pPr>
      <w:spacing w:after="120"/>
    </w:pPr>
    <w:rPr>
      <w:snapToGrid/>
      <w:lang w:val="en-US"/>
    </w:rPr>
  </w:style>
  <w:style w:type="paragraph" w:styleId="13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4">
    <w:name w:val="footer"/>
    <w:basedOn w:val="1"/>
    <w:link w:val="19"/>
    <w:unhideWhenUsed/>
    <w:qFormat/>
    <w:uiPriority w:val="99"/>
    <w:pPr>
      <w:tabs>
        <w:tab w:val="center" w:pos="4677"/>
        <w:tab w:val="right" w:pos="9355"/>
      </w:tabs>
    </w:pPr>
  </w:style>
  <w:style w:type="paragraph" w:styleId="15">
    <w:name w:val="Body Text Indent 2"/>
    <w:basedOn w:val="1"/>
    <w:link w:val="25"/>
    <w:unhideWhenUsed/>
    <w:qFormat/>
    <w:uiPriority w:val="0"/>
    <w:pPr>
      <w:spacing w:after="120" w:line="480" w:lineRule="auto"/>
      <w:ind w:left="283"/>
    </w:pPr>
    <w:rPr>
      <w:snapToGrid/>
      <w:lang w:val="en-US"/>
    </w:rPr>
  </w:style>
  <w:style w:type="paragraph" w:styleId="16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7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Верхний колонтитул Знак"/>
    <w:basedOn w:val="8"/>
    <w:link w:val="11"/>
    <w:qFormat/>
    <w:uiPriority w:val="99"/>
  </w:style>
  <w:style w:type="character" w:customStyle="1" w:styleId="19">
    <w:name w:val="Нижний колонтитул Знак"/>
    <w:basedOn w:val="8"/>
    <w:link w:val="14"/>
    <w:qFormat/>
    <w:uiPriority w:val="99"/>
  </w:style>
  <w:style w:type="character" w:customStyle="1" w:styleId="20">
    <w:name w:val="Заголовок 2 Знак"/>
    <w:basedOn w:val="8"/>
    <w:link w:val="3"/>
    <w:qFormat/>
    <w:uiPriority w:val="0"/>
    <w:rPr>
      <w:rFonts w:ascii="Arial Narrow" w:hAnsi="Arial Narrow" w:eastAsia="Times New Roman" w:cs="Times New Roman"/>
      <w:b/>
      <w:i/>
      <w:smallCaps/>
      <w:sz w:val="40"/>
      <w:szCs w:val="20"/>
      <w:lang w:val="en-GB"/>
    </w:rPr>
  </w:style>
  <w:style w:type="paragraph" w:styleId="21">
    <w:name w:val="List Paragraph"/>
    <w:basedOn w:val="1"/>
    <w:qFormat/>
    <w:uiPriority w:val="34"/>
    <w:pPr>
      <w:ind w:left="720"/>
      <w:contextualSpacing/>
    </w:pPr>
  </w:style>
  <w:style w:type="paragraph" w:customStyle="1" w:styleId="22">
    <w:name w:val="sub heading3"/>
    <w:basedOn w:val="3"/>
    <w:qFormat/>
    <w:uiPriority w:val="0"/>
    <w:pPr>
      <w:keepNext w:val="0"/>
      <w:spacing w:before="120" w:after="0"/>
      <w:ind w:left="2160" w:hanging="708"/>
      <w:outlineLvl w:val="9"/>
    </w:pPr>
    <w:rPr>
      <w:rFonts w:ascii="Times" w:hAnsi="Times"/>
      <w:b w:val="0"/>
      <w:i w:val="0"/>
      <w:smallCaps w:val="0"/>
      <w:sz w:val="24"/>
      <w:lang w:val="en-AU"/>
    </w:rPr>
  </w:style>
  <w:style w:type="character" w:customStyle="1" w:styleId="23">
    <w:name w:val="Заголовок 1 Знак"/>
    <w:basedOn w:val="8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val="en-US"/>
    </w:rPr>
  </w:style>
  <w:style w:type="character" w:customStyle="1" w:styleId="24">
    <w:name w:val="Основной текст Знак"/>
    <w:basedOn w:val="8"/>
    <w:link w:val="12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25">
    <w:name w:val="Основной текст с отступом 2 Знак"/>
    <w:basedOn w:val="8"/>
    <w:link w:val="15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26">
    <w:name w:val="hps"/>
    <w:qFormat/>
    <w:uiPriority w:val="0"/>
  </w:style>
  <w:style w:type="table" w:customStyle="1" w:styleId="27">
    <w:name w:val="_Style 26"/>
    <w:basedOn w:val="17"/>
    <w:uiPriority w:val="0"/>
    <w:tblPr>
      <w:tblCellMar>
        <w:left w:w="115" w:type="dxa"/>
        <w:right w:w="115" w:type="dxa"/>
      </w:tblCellMar>
    </w:tblPr>
  </w:style>
  <w:style w:type="table" w:customStyle="1" w:styleId="28">
    <w:name w:val="_Style 27"/>
    <w:basedOn w:val="17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JYQwY7Dg3kEKm0DzRwQEeCnxww==">CgMxLjAyCGguZ2pkZ3hzMgloLjMwajB6bGwyDmguOXJ5dTE3Yzd6b2RkMgloLjFmb2I5dGU4AHIhMWN1ZXR5dmNFMl9KbTdrVmU3WXBXTFgtOXFyb1FHaEhI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265</Words>
  <Characters>1511</Characters>
  <Lines>12</Lines>
  <Paragraphs>3</Paragraphs>
  <TotalTime>1</TotalTime>
  <ScaleCrop>false</ScaleCrop>
  <LinksUpToDate>false</LinksUpToDate>
  <CharactersWithSpaces>1773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2018-05-03T14:09:00Z</dcterms:created>
  <dc:creator>Мария Книга haccp-iso.ru</dc:creator>
  <cp:lastModifiedBy>1</cp:lastModifiedBy>
  <dcterms:modified xsi:type="dcterms:W3CDTF">2025-07-22T14:42:11Z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05EB0EDBB0F94797AB17C39D7B0030FF_12</vt:lpwstr>
  </property>
</Properties>
</file>